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6BB7" w14:textId="77777777" w:rsidR="002A0422" w:rsidRPr="008C149E" w:rsidRDefault="00B33D08" w:rsidP="00DA128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C149E">
        <w:rPr>
          <w:rFonts w:ascii="Arial" w:hAnsi="Arial" w:cs="Arial"/>
          <w:bCs/>
          <w:spacing w:val="-3"/>
          <w:sz w:val="22"/>
          <w:szCs w:val="22"/>
        </w:rPr>
        <w:t>The</w:t>
      </w:r>
      <w:r w:rsidR="006F2A9E" w:rsidRPr="008C149E">
        <w:rPr>
          <w:rFonts w:ascii="Arial" w:hAnsi="Arial" w:cs="Arial"/>
          <w:bCs/>
          <w:spacing w:val="-3"/>
          <w:sz w:val="22"/>
          <w:szCs w:val="22"/>
        </w:rPr>
        <w:t xml:space="preserve"> Queensland Government is committed to continue its rolling program of Local Government reform to strengthen </w:t>
      </w:r>
      <w:r w:rsidR="002A0422" w:rsidRPr="008C149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F2A9E" w:rsidRPr="008C149E">
        <w:rPr>
          <w:rFonts w:ascii="Arial" w:hAnsi="Arial" w:cs="Arial"/>
          <w:bCs/>
          <w:spacing w:val="-3"/>
          <w:sz w:val="22"/>
          <w:szCs w:val="22"/>
        </w:rPr>
        <w:t>equity, transparency</w:t>
      </w:r>
      <w:r w:rsidR="002A0422" w:rsidRPr="008C149E">
        <w:rPr>
          <w:rFonts w:ascii="Arial" w:hAnsi="Arial" w:cs="Arial"/>
          <w:bCs/>
          <w:spacing w:val="-3"/>
          <w:sz w:val="22"/>
          <w:szCs w:val="22"/>
        </w:rPr>
        <w:t>, accountability and integrity of Local Government in Queensland. It is also committed to supporting Local Government and enhancing public confidence in the sector.</w:t>
      </w:r>
    </w:p>
    <w:p w14:paraId="513B0912" w14:textId="77777777" w:rsidR="002A0422" w:rsidRPr="008C149E" w:rsidRDefault="002A0422" w:rsidP="00DA128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49E">
        <w:rPr>
          <w:rFonts w:ascii="Arial" w:hAnsi="Arial" w:cs="Arial"/>
          <w:bCs/>
          <w:spacing w:val="-3"/>
          <w:sz w:val="22"/>
          <w:szCs w:val="22"/>
        </w:rPr>
        <w:t xml:space="preserve">The Crime and Corruption Commission, in its report </w:t>
      </w:r>
      <w:r w:rsidRPr="008C149E">
        <w:rPr>
          <w:rFonts w:ascii="Arial" w:hAnsi="Arial" w:cs="Arial"/>
          <w:bCs/>
          <w:i/>
          <w:spacing w:val="-3"/>
          <w:sz w:val="22"/>
          <w:szCs w:val="22"/>
        </w:rPr>
        <w:t>Operation Belcarra: A blueprint for integrity and addressing corruption risk in local government</w:t>
      </w:r>
      <w:r w:rsidRPr="008C149E">
        <w:rPr>
          <w:rFonts w:ascii="Arial" w:hAnsi="Arial" w:cs="Arial"/>
          <w:bCs/>
          <w:spacing w:val="-3"/>
          <w:sz w:val="22"/>
          <w:szCs w:val="22"/>
        </w:rPr>
        <w:t xml:space="preserve"> (the Belcarra Report), highlighted the need to strengthen the legislative and regulatory framework for Local Government and reduce corruption risk.</w:t>
      </w:r>
    </w:p>
    <w:p w14:paraId="60D7DD37" w14:textId="22C0B9F6" w:rsidR="0028435B" w:rsidRPr="008C149E" w:rsidRDefault="000F6641" w:rsidP="000F664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49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C149E">
        <w:rPr>
          <w:rFonts w:ascii="Arial" w:hAnsi="Arial" w:cs="Arial"/>
          <w:sz w:val="22"/>
          <w:szCs w:val="22"/>
        </w:rPr>
        <w:t xml:space="preserve">Local Government Electoral (Implementing Stage 2 of Belcarra) and Other Legislation Amendment Bill 2019 </w:t>
      </w:r>
      <w:r w:rsidR="00205A1F" w:rsidRPr="008C149E">
        <w:rPr>
          <w:rFonts w:ascii="Arial" w:hAnsi="Arial" w:cs="Arial"/>
          <w:sz w:val="22"/>
          <w:szCs w:val="22"/>
        </w:rPr>
        <w:t xml:space="preserve">furthers </w:t>
      </w:r>
      <w:r w:rsidRPr="008C149E">
        <w:rPr>
          <w:rFonts w:ascii="Arial" w:hAnsi="Arial" w:cs="Arial"/>
          <w:sz w:val="22"/>
          <w:szCs w:val="22"/>
        </w:rPr>
        <w:t xml:space="preserve">the Government’s response to the Belcarra Report. It also introduces additional reforms </w:t>
      </w:r>
      <w:r w:rsidR="0028435B" w:rsidRPr="008C149E">
        <w:rPr>
          <w:rFonts w:ascii="Arial" w:hAnsi="Arial" w:cs="Arial"/>
          <w:sz w:val="22"/>
          <w:szCs w:val="22"/>
        </w:rPr>
        <w:t>underpinned by the principles of:</w:t>
      </w:r>
    </w:p>
    <w:p w14:paraId="544E737A" w14:textId="77777777" w:rsidR="0028435B" w:rsidRPr="008C149E" w:rsidRDefault="0028435B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149E">
        <w:rPr>
          <w:rFonts w:ascii="Arial" w:hAnsi="Arial" w:cs="Arial"/>
          <w:sz w:val="22"/>
          <w:szCs w:val="22"/>
        </w:rPr>
        <w:t xml:space="preserve">Integrity — ensuring current and future Councillors are fully informed of their obligations as candidates and Councillors and </w:t>
      </w:r>
      <w:r w:rsidR="001944EC" w:rsidRPr="008C149E">
        <w:rPr>
          <w:rFonts w:ascii="Arial" w:hAnsi="Arial" w:cs="Arial"/>
          <w:sz w:val="22"/>
          <w:szCs w:val="22"/>
        </w:rPr>
        <w:t xml:space="preserve">are </w:t>
      </w:r>
      <w:r w:rsidRPr="008C149E">
        <w:rPr>
          <w:rFonts w:ascii="Arial" w:hAnsi="Arial" w:cs="Arial"/>
          <w:sz w:val="22"/>
          <w:szCs w:val="22"/>
        </w:rPr>
        <w:t>aware Councillors must uphold the highest levels of honesty and impartiality when making decisions in the public interest</w:t>
      </w:r>
    </w:p>
    <w:p w14:paraId="60B0E9C2" w14:textId="77777777" w:rsidR="000F6641" w:rsidRPr="008C149E" w:rsidRDefault="0028435B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149E">
        <w:rPr>
          <w:rFonts w:ascii="Arial" w:hAnsi="Arial" w:cs="Arial"/>
          <w:sz w:val="22"/>
          <w:szCs w:val="22"/>
        </w:rPr>
        <w:t>Transparency — clarifying and strengthening requirements to more fully inform electors of candidates’ interests</w:t>
      </w:r>
      <w:r w:rsidR="000F6641" w:rsidRPr="008C149E">
        <w:rPr>
          <w:rFonts w:ascii="Arial" w:hAnsi="Arial" w:cs="Arial"/>
          <w:sz w:val="22"/>
          <w:szCs w:val="22"/>
        </w:rPr>
        <w:t xml:space="preserve"> and the community about Council decision-making</w:t>
      </w:r>
    </w:p>
    <w:p w14:paraId="7E049A87" w14:textId="77777777" w:rsidR="000F6641" w:rsidRPr="008C149E" w:rsidRDefault="000F6641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149E">
        <w:rPr>
          <w:rFonts w:ascii="Arial" w:hAnsi="Arial" w:cs="Arial"/>
          <w:sz w:val="22"/>
          <w:szCs w:val="22"/>
        </w:rPr>
        <w:t>Diversity — enabling participation by a pool of candidates and elect</w:t>
      </w:r>
      <w:r w:rsidR="001944EC" w:rsidRPr="008C149E">
        <w:rPr>
          <w:rFonts w:ascii="Arial" w:hAnsi="Arial" w:cs="Arial"/>
          <w:sz w:val="22"/>
          <w:szCs w:val="22"/>
        </w:rPr>
        <w:t xml:space="preserve">ion of </w:t>
      </w:r>
      <w:r w:rsidRPr="008C149E">
        <w:rPr>
          <w:rFonts w:ascii="Arial" w:hAnsi="Arial" w:cs="Arial"/>
          <w:sz w:val="22"/>
          <w:szCs w:val="22"/>
        </w:rPr>
        <w:t xml:space="preserve">Local Government </w:t>
      </w:r>
      <w:r w:rsidR="001944EC" w:rsidRPr="008C149E">
        <w:rPr>
          <w:rFonts w:ascii="Arial" w:hAnsi="Arial" w:cs="Arial"/>
          <w:sz w:val="22"/>
          <w:szCs w:val="22"/>
        </w:rPr>
        <w:t>Councillors who are representative of the diverse communities they serve</w:t>
      </w:r>
    </w:p>
    <w:p w14:paraId="11A93232" w14:textId="77777777" w:rsidR="00242AB0" w:rsidRPr="008C149E" w:rsidRDefault="000F6641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149E">
        <w:rPr>
          <w:rFonts w:ascii="Arial" w:hAnsi="Arial" w:cs="Arial"/>
          <w:sz w:val="22"/>
          <w:szCs w:val="22"/>
        </w:rPr>
        <w:t>Consistency — aligning Local Government election requirements with State and Federal electoral processes and aligning requirements between the Brisbane City Council and other Queensland Local Governments.</w:t>
      </w:r>
    </w:p>
    <w:p w14:paraId="22F7531A" w14:textId="77777777" w:rsidR="006F2A9E" w:rsidRPr="008C149E" w:rsidRDefault="00AC217A" w:rsidP="00AC21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149E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F2A9E" w:rsidRPr="008C149E">
        <w:rPr>
          <w:rFonts w:ascii="Arial" w:hAnsi="Arial" w:cs="Arial"/>
          <w:sz w:val="22"/>
          <w:szCs w:val="22"/>
          <w:u w:val="single"/>
        </w:rPr>
        <w:t>approved</w:t>
      </w:r>
      <w:r w:rsidRPr="008C149E">
        <w:rPr>
          <w:rFonts w:ascii="Arial" w:hAnsi="Arial" w:cs="Arial"/>
          <w:sz w:val="22"/>
          <w:szCs w:val="22"/>
        </w:rPr>
        <w:t xml:space="preserve"> </w:t>
      </w:r>
      <w:r w:rsidR="00242AB0" w:rsidRPr="008C149E">
        <w:rPr>
          <w:rFonts w:ascii="Arial" w:hAnsi="Arial" w:cs="Arial"/>
          <w:sz w:val="22"/>
          <w:szCs w:val="22"/>
        </w:rPr>
        <w:t>th</w:t>
      </w:r>
      <w:r w:rsidR="006F2A9E" w:rsidRPr="008C149E">
        <w:rPr>
          <w:rFonts w:ascii="Arial" w:hAnsi="Arial" w:cs="Arial"/>
          <w:sz w:val="22"/>
          <w:szCs w:val="22"/>
        </w:rPr>
        <w:t>e introduction of the Local Government Electoral (Implementing Stage 2 of Belcarra) and Other Legislation Amendment Bill 2019 into the Legislative Assembly.</w:t>
      </w:r>
    </w:p>
    <w:p w14:paraId="053BC2FF" w14:textId="5C3C99A3" w:rsidR="006F2A9E" w:rsidRPr="00051EB1" w:rsidRDefault="006F2A9E" w:rsidP="00780F9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51EB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0B46D1A" w14:textId="2DE6701F" w:rsidR="006F2A9E" w:rsidRPr="008C149E" w:rsidRDefault="00660579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6F2A9E" w:rsidRPr="003D7443">
          <w:rPr>
            <w:rStyle w:val="Hyperlink"/>
            <w:rFonts w:ascii="Arial" w:hAnsi="Arial" w:cs="Arial"/>
            <w:sz w:val="22"/>
            <w:szCs w:val="22"/>
          </w:rPr>
          <w:t>Local Government Electoral (Implementing Stage 2 of Belcarra) and Other Legislation Amendment Bill 2019</w:t>
        </w:r>
      </w:hyperlink>
    </w:p>
    <w:p w14:paraId="65053385" w14:textId="6326F05C" w:rsidR="005355AB" w:rsidRPr="00051EB1" w:rsidRDefault="00660579" w:rsidP="00780F91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6F2A9E" w:rsidRPr="003D744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355AB" w:rsidRPr="00051EB1" w:rsidSect="00B50F62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DB97" w14:textId="77777777" w:rsidR="0099554E" w:rsidRDefault="0099554E" w:rsidP="00D6589B">
      <w:r>
        <w:separator/>
      </w:r>
    </w:p>
  </w:endnote>
  <w:endnote w:type="continuationSeparator" w:id="0">
    <w:p w14:paraId="78ADE56B" w14:textId="77777777" w:rsidR="0099554E" w:rsidRDefault="0099554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FEF1" w14:textId="77777777" w:rsidR="0099554E" w:rsidRDefault="0099554E" w:rsidP="00D6589B">
      <w:r>
        <w:separator/>
      </w:r>
    </w:p>
  </w:footnote>
  <w:footnote w:type="continuationSeparator" w:id="0">
    <w:p w14:paraId="4D403013" w14:textId="77777777" w:rsidR="0099554E" w:rsidRDefault="0099554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E46E" w14:textId="77777777" w:rsidR="00662B47" w:rsidRPr="00937A4A" w:rsidRDefault="00662B47" w:rsidP="00662B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DCB3E1B" w14:textId="77777777" w:rsidR="00662B47" w:rsidRPr="00937A4A" w:rsidRDefault="00662B47" w:rsidP="00662B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91A8319" w14:textId="71DE8494" w:rsidR="00662B47" w:rsidRPr="00937A4A" w:rsidRDefault="00662B47" w:rsidP="00662B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62B47">
      <w:rPr>
        <w:rFonts w:ascii="Arial" w:hAnsi="Arial" w:cs="Arial"/>
        <w:b/>
        <w:color w:val="auto"/>
        <w:sz w:val="22"/>
        <w:szCs w:val="22"/>
        <w:lang w:eastAsia="en-US"/>
      </w:rPr>
      <w:t>Cabinet – April 2019</w:t>
    </w:r>
  </w:p>
  <w:p w14:paraId="327DFD88" w14:textId="4A25004D" w:rsidR="005355AB" w:rsidRPr="00B50F62" w:rsidRDefault="006F2A9E" w:rsidP="00B50F6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B50F62">
      <w:rPr>
        <w:rFonts w:ascii="Arial" w:hAnsi="Arial" w:cs="Arial"/>
        <w:b/>
        <w:sz w:val="22"/>
        <w:szCs w:val="22"/>
        <w:u w:val="single"/>
      </w:rPr>
      <w:t>Local Government Electoral (Implementing Stage 2 of Belcarra) and Other Legislation Amendment Bill 2019</w:t>
    </w:r>
  </w:p>
  <w:p w14:paraId="26741A5B" w14:textId="77777777" w:rsidR="006F2A9E" w:rsidRDefault="005355AB" w:rsidP="00B50F62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</w:t>
    </w:r>
    <w:r w:rsidR="008C06E7">
      <w:rPr>
        <w:rFonts w:ascii="Arial" w:hAnsi="Arial" w:cs="Arial"/>
        <w:b/>
        <w:sz w:val="22"/>
        <w:szCs w:val="22"/>
        <w:u w:val="single"/>
      </w:rPr>
      <w:t xml:space="preserve">, </w:t>
    </w:r>
    <w:r w:rsidR="006F2A9E">
      <w:rPr>
        <w:rFonts w:ascii="Arial" w:hAnsi="Arial" w:cs="Arial"/>
        <w:b/>
        <w:sz w:val="22"/>
        <w:szCs w:val="22"/>
        <w:u w:val="single"/>
      </w:rPr>
      <w:t xml:space="preserve">Minister for Racing and Minister for Multicultural Affairs </w:t>
    </w:r>
  </w:p>
  <w:p w14:paraId="4F23E7A1" w14:textId="77777777" w:rsidR="005355AB" w:rsidRDefault="006F2A9E" w:rsidP="00780F91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 General and Minister for Justice and Leader of the House</w:t>
    </w:r>
  </w:p>
  <w:p w14:paraId="2F79EBC6" w14:textId="77777777"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53E8"/>
    <w:multiLevelType w:val="hybridMultilevel"/>
    <w:tmpl w:val="ECCE4EBE"/>
    <w:lvl w:ilvl="0" w:tplc="DA2A1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D0C05E">
      <w:start w:val="1"/>
      <w:numFmt w:val="none"/>
      <w:lvlText w:val="-"/>
      <w:lvlJc w:val="left"/>
      <w:pPr>
        <w:tabs>
          <w:tab w:val="num" w:pos="1437"/>
        </w:tabs>
        <w:ind w:left="1437" w:hanging="357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6406D6D0"/>
    <w:lvl w:ilvl="0" w:tplc="A2F40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149E7"/>
    <w:rsid w:val="000430DD"/>
    <w:rsid w:val="00051EB1"/>
    <w:rsid w:val="0005653D"/>
    <w:rsid w:val="00080F8F"/>
    <w:rsid w:val="000B0A86"/>
    <w:rsid w:val="000D0E3B"/>
    <w:rsid w:val="000F4D35"/>
    <w:rsid w:val="000F6641"/>
    <w:rsid w:val="00140936"/>
    <w:rsid w:val="00174117"/>
    <w:rsid w:val="001944EC"/>
    <w:rsid w:val="001C07EE"/>
    <w:rsid w:val="001E209B"/>
    <w:rsid w:val="001E3F91"/>
    <w:rsid w:val="00205A1F"/>
    <w:rsid w:val="0021344B"/>
    <w:rsid w:val="00242AB0"/>
    <w:rsid w:val="0024553F"/>
    <w:rsid w:val="0028435B"/>
    <w:rsid w:val="002A0422"/>
    <w:rsid w:val="002D4088"/>
    <w:rsid w:val="00312582"/>
    <w:rsid w:val="00357A91"/>
    <w:rsid w:val="003B5871"/>
    <w:rsid w:val="003C76DF"/>
    <w:rsid w:val="003D7443"/>
    <w:rsid w:val="004E3AE1"/>
    <w:rsid w:val="00501C66"/>
    <w:rsid w:val="005355AB"/>
    <w:rsid w:val="00550873"/>
    <w:rsid w:val="006326AA"/>
    <w:rsid w:val="006572A7"/>
    <w:rsid w:val="00660579"/>
    <w:rsid w:val="00662B47"/>
    <w:rsid w:val="006843EE"/>
    <w:rsid w:val="006B1AAD"/>
    <w:rsid w:val="006C227F"/>
    <w:rsid w:val="006F2A9E"/>
    <w:rsid w:val="00705284"/>
    <w:rsid w:val="007269D3"/>
    <w:rsid w:val="00732E22"/>
    <w:rsid w:val="00761581"/>
    <w:rsid w:val="00776532"/>
    <w:rsid w:val="00780F91"/>
    <w:rsid w:val="007B625B"/>
    <w:rsid w:val="0080339B"/>
    <w:rsid w:val="008A4523"/>
    <w:rsid w:val="008B3293"/>
    <w:rsid w:val="008C06E7"/>
    <w:rsid w:val="008C149E"/>
    <w:rsid w:val="008D51BD"/>
    <w:rsid w:val="008F44CD"/>
    <w:rsid w:val="0099554E"/>
    <w:rsid w:val="009A694C"/>
    <w:rsid w:val="00A17E66"/>
    <w:rsid w:val="00A527A5"/>
    <w:rsid w:val="00AC217A"/>
    <w:rsid w:val="00AC6B4A"/>
    <w:rsid w:val="00B11A71"/>
    <w:rsid w:val="00B33D08"/>
    <w:rsid w:val="00B50F62"/>
    <w:rsid w:val="00B53794"/>
    <w:rsid w:val="00C07656"/>
    <w:rsid w:val="00C124F5"/>
    <w:rsid w:val="00C75E67"/>
    <w:rsid w:val="00C977E8"/>
    <w:rsid w:val="00CB1501"/>
    <w:rsid w:val="00CE6FBA"/>
    <w:rsid w:val="00CE72F8"/>
    <w:rsid w:val="00CF0D8A"/>
    <w:rsid w:val="00D60B9B"/>
    <w:rsid w:val="00D6589B"/>
    <w:rsid w:val="00D75134"/>
    <w:rsid w:val="00DA128D"/>
    <w:rsid w:val="00DB6FE7"/>
    <w:rsid w:val="00DE61EC"/>
    <w:rsid w:val="00E04BB8"/>
    <w:rsid w:val="00E13E17"/>
    <w:rsid w:val="00F10DF9"/>
    <w:rsid w:val="00F53AE3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C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1A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AA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AAD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AAD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unhideWhenUsed/>
    <w:rsid w:val="003D7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0356F2-ED1C-470E-A41F-18F8FB80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D1E73-9957-46E5-A8EE-BDB3D054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668F7-101C-4DB6-A9A4-743A4D8DE3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3BD6DE-E213-47D8-871B-7A451E5288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1680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appointment proactive release summary template (DLGCRR)</vt:lpstr>
    </vt:vector>
  </TitlesOfParts>
  <Manager/>
  <Company/>
  <LinksUpToDate>false</LinksUpToDate>
  <CharactersWithSpaces>1944</CharactersWithSpaces>
  <SharedDoc>false</SharedDoc>
  <HyperlinkBase>https://www.cabinet.qld.gov.au/documents/2019/Apr/LGEBill/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appointment proactive release summary template (DLGCRR)</dc:title>
  <dc:subject>DLGCRR significant appointment proactive release summary template</dc:subject>
  <dc:creator/>
  <cp:keywords>DLGCRR significant appointment proactive release summary template</cp:keywords>
  <dc:description/>
  <cp:lastModifiedBy/>
  <cp:revision>10</cp:revision>
  <cp:lastPrinted>2014-10-14T06:09:00Z</cp:lastPrinted>
  <dcterms:created xsi:type="dcterms:W3CDTF">2019-05-20T01:19:00Z</dcterms:created>
  <dcterms:modified xsi:type="dcterms:W3CDTF">2019-12-11T09:18:00Z</dcterms:modified>
  <cp:category>Legislation,Local_Government,Corruption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pic">
    <vt:lpwstr>Cabinet templates</vt:lpwstr>
  </property>
  <property fmtid="{D5CDD505-2E9C-101B-9397-08002B2CF9AE}" pid="4" name="Area">
    <vt:lpwstr>DLG</vt:lpwstr>
  </property>
  <property fmtid="{D5CDD505-2E9C-101B-9397-08002B2CF9AE}" pid="5" name="ContentType">
    <vt:lpwstr>Document</vt:lpwstr>
  </property>
  <property fmtid="{D5CDD505-2E9C-101B-9397-08002B2CF9AE}" pid="6" name="Owners">
    <vt:lpwstr>1;#Cabinet and executive correspondence</vt:lpwstr>
  </property>
  <property fmtid="{D5CDD505-2E9C-101B-9397-08002B2CF9AE}" pid="7" name="display_urn:schemas-microsoft-com:office:office#Audience">
    <vt:lpwstr>DLGCRR Department</vt:lpwstr>
  </property>
  <property fmtid="{D5CDD505-2E9C-101B-9397-08002B2CF9AE}" pid="8" name="ContentTypeId">
    <vt:lpwstr>0x010100DDE14CFDD070B24F85F5DE43654FF01E</vt:lpwstr>
  </property>
</Properties>
</file>